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彩虹小标宋" w:eastAsia="彩虹小标宋"/>
          <w:sz w:val="44"/>
          <w:szCs w:val="44"/>
        </w:rPr>
      </w:pPr>
      <w:r>
        <w:rPr>
          <w:rFonts w:hint="eastAsia" w:ascii="黑体" w:hAnsi="黑体" w:eastAsia="黑体"/>
          <w:sz w:val="36"/>
          <w:szCs w:val="36"/>
        </w:rPr>
        <w:t>建设银行存量房交易资金监管用户操作手册</w:t>
      </w:r>
    </w:p>
    <w:p>
      <w:pPr>
        <w:adjustRightInd w:val="0"/>
        <w:snapToGrid w:val="0"/>
        <w:spacing w:before="468" w:beforeLines="150" w:after="156" w:afterLines="5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1. 建行互联网交易银行“龙存管”介绍</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1.1 什么是“龙存管”</w:t>
      </w:r>
    </w:p>
    <w:p>
      <w:pPr>
        <w:adjustRightInd w:val="0"/>
        <w:snapToGrid w:val="0"/>
        <w:spacing w:line="360" w:lineRule="auto"/>
        <w:ind w:firstLine="600" w:firstLineChars="200"/>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“龙存管”是建行针对交易类平台资金合规管理需求，整合银行的账户管理、在线绑卡、资金存管、清结算等功能，为交易类平台提供“存管+交易”的综合金融服务。</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1.2 龙存管在存量房交易平台中提供的服务</w:t>
      </w:r>
    </w:p>
    <w:p>
      <w:pPr>
        <w:adjustRightInd w:val="0"/>
        <w:snapToGrid w:val="0"/>
        <w:spacing w:line="360" w:lineRule="auto"/>
        <w:ind w:firstLine="660"/>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根据买卖双方在中山市存量房交易平台上的交易，龙存管为买卖双方提供全线上交易资金监管服务，包括用户登录、监管资金数额录入、银行结算账户绑定、资金监管协议签署、超额监管资金退回、监管资金划拨以及监管终止资金退回等功能。</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1.3 龙存管专用监管账户</w:t>
      </w:r>
    </w:p>
    <w:p>
      <w:pPr>
        <w:adjustRightInd w:val="0"/>
        <w:snapToGrid w:val="0"/>
        <w:spacing w:line="360" w:lineRule="auto"/>
        <w:ind w:firstLine="600" w:firstLineChars="200"/>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建行为中山市存量房交易平台开立专用的监管账户，用于存放存量房交易监管资金。监管账户信息如下：</w:t>
      </w:r>
    </w:p>
    <w:p>
      <w:pPr>
        <w:adjustRightInd w:val="0"/>
        <w:snapToGrid w:val="0"/>
        <w:spacing w:line="360" w:lineRule="auto"/>
        <w:ind w:firstLine="600" w:firstLineChars="200"/>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账号：44050178230109123456</w:t>
      </w:r>
    </w:p>
    <w:p>
      <w:pPr>
        <w:adjustRightInd w:val="0"/>
        <w:snapToGrid w:val="0"/>
        <w:spacing w:line="360" w:lineRule="auto"/>
        <w:ind w:firstLine="600" w:firstLineChars="200"/>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户名：中国建设银行股份有限公司广东省分行中山市存量房交易存管专户</w:t>
      </w:r>
    </w:p>
    <w:p>
      <w:pPr>
        <w:adjustRightInd w:val="0"/>
        <w:snapToGrid w:val="0"/>
        <w:spacing w:line="360" w:lineRule="auto"/>
        <w:ind w:firstLine="600" w:firstLineChars="200"/>
        <w:rPr>
          <w:rFonts w:ascii="彩虹粗仿宋" w:eastAsia="彩虹粗仿宋"/>
          <w:sz w:val="32"/>
          <w:szCs w:val="30"/>
        </w:rPr>
      </w:pPr>
      <w:r>
        <w:rPr>
          <w:rFonts w:hint="eastAsia" w:ascii="仿宋_GB2312" w:eastAsia="仿宋_GB2312" w:hAnsiTheme="minorHAnsi" w:cstheme="minorBidi"/>
          <w:kern w:val="2"/>
          <w:sz w:val="30"/>
          <w:szCs w:val="30"/>
          <w:lang w:val="en-US" w:eastAsia="zh-CN" w:bidi="ar-SA"/>
        </w:rPr>
        <w:t>开户行：中国建设银行中山市分行兴中道支行</w:t>
      </w:r>
      <w:r>
        <w:rPr>
          <w:rFonts w:ascii="彩虹粗仿宋" w:eastAsia="彩虹粗仿宋"/>
          <w:sz w:val="32"/>
          <w:szCs w:val="30"/>
        </w:rPr>
        <w:br w:type="page"/>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2. 用户操作流程</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买卖双方可各自在中山市存量房交易平台上点击相应按钮跳转至龙存管页面进行上述全线上资金交易操作，支持电脑及手机端登录。</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2.1 用户登录</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买卖双方各自在存量房交易平台系统中点击“建行龙存管系统”按钮后，即可跳转至龙存管用户登录界面。</w:t>
      </w:r>
    </w:p>
    <w:p>
      <w:pPr>
        <w:adjustRightInd w:val="0"/>
        <w:snapToGrid w:val="0"/>
        <w:spacing w:line="360" w:lineRule="auto"/>
        <w:jc w:val="center"/>
        <w:rPr>
          <w:rFonts w:ascii="彩虹粗仿宋" w:eastAsia="彩虹粗仿宋"/>
          <w:sz w:val="32"/>
          <w:szCs w:val="30"/>
        </w:rPr>
      </w:pPr>
      <w:r>
        <w:drawing>
          <wp:inline distT="0" distB="0" distL="0" distR="0">
            <wp:extent cx="5274310" cy="3135630"/>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3135630"/>
                    </a:xfrm>
                    <a:prstGeom prst="rect">
                      <a:avLst/>
                    </a:prstGeom>
                  </pic:spPr>
                </pic:pic>
              </a:graphicData>
            </a:graphic>
          </wp:inline>
        </w:drawing>
      </w:r>
    </w:p>
    <w:p>
      <w:pPr>
        <w:adjustRightInd w:val="0"/>
        <w:snapToGrid w:val="0"/>
        <w:spacing w:before="312" w:beforeLines="100" w:line="360" w:lineRule="auto"/>
        <w:jc w:val="center"/>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图1：龙存管用户登录界面</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信息录入：用户需输入网签合同号、下拉选择买/卖方、输入姓名、身份证号、银行卡号及手机号（均为本人信息），并通过手机验证码验证后登录。</w:t>
      </w:r>
    </w:p>
    <w:p>
      <w:pPr>
        <w:adjustRightInd w:val="0"/>
        <w:snapToGrid w:val="0"/>
        <w:spacing w:before="312" w:beforeLines="100" w:line="360" w:lineRule="auto"/>
        <w:rPr>
          <w:rFonts w:hint="eastAsia" w:ascii="仿宋_GB2312" w:eastAsia="仿宋_GB2312" w:hAnsiTheme="minorHAnsi" w:cstheme="minorBidi"/>
          <w:color w:val="FF0000"/>
          <w:kern w:val="2"/>
          <w:sz w:val="30"/>
          <w:szCs w:val="30"/>
          <w:lang w:val="en-US" w:eastAsia="zh-CN" w:bidi="ar-SA"/>
        </w:rPr>
      </w:pPr>
    </w:p>
    <w:p>
      <w:pPr>
        <w:adjustRightInd w:val="0"/>
        <w:snapToGrid w:val="0"/>
        <w:spacing w:before="312" w:beforeLines="100" w:line="360" w:lineRule="auto"/>
        <w:rPr>
          <w:rFonts w:hint="eastAsia" w:ascii="仿宋_GB2312" w:eastAsia="仿宋_GB2312" w:hAnsiTheme="minorHAnsi" w:cstheme="minorBidi"/>
          <w:color w:val="FF0000"/>
          <w:kern w:val="2"/>
          <w:sz w:val="30"/>
          <w:szCs w:val="30"/>
          <w:lang w:val="en-US" w:eastAsia="zh-CN" w:bidi="ar-SA"/>
        </w:rPr>
      </w:pPr>
      <w:r>
        <w:rPr>
          <w:rFonts w:hint="eastAsia" w:ascii="仿宋_GB2312" w:eastAsia="仿宋_GB2312" w:hAnsiTheme="minorHAnsi" w:cstheme="minorBidi"/>
          <w:color w:val="FF0000"/>
          <w:kern w:val="2"/>
          <w:sz w:val="30"/>
          <w:szCs w:val="30"/>
          <w:lang w:val="en-US" w:eastAsia="zh-CN" w:bidi="ar-SA"/>
        </w:rPr>
        <w:t>温馨提示：</w:t>
      </w:r>
    </w:p>
    <w:p>
      <w:pPr>
        <w:adjustRightInd w:val="0"/>
        <w:snapToGrid w:val="0"/>
        <w:spacing w:before="312" w:beforeLines="100" w:line="360" w:lineRule="auto"/>
        <w:rPr>
          <w:rFonts w:hint="eastAsia" w:ascii="仿宋_GB2312" w:eastAsia="仿宋_GB2312" w:hAnsiTheme="minorHAnsi" w:cstheme="minorBidi"/>
          <w:color w:val="FF0000"/>
          <w:kern w:val="2"/>
          <w:sz w:val="30"/>
          <w:szCs w:val="30"/>
          <w:lang w:val="en-US" w:eastAsia="zh-CN" w:bidi="ar-SA"/>
        </w:rPr>
      </w:pPr>
      <w:r>
        <w:rPr>
          <w:rFonts w:hint="eastAsia" w:ascii="仿宋_GB2312" w:eastAsia="仿宋_GB2312" w:hAnsiTheme="minorHAnsi" w:cstheme="minorBidi"/>
          <w:color w:val="FF0000"/>
          <w:kern w:val="2"/>
          <w:sz w:val="30"/>
          <w:szCs w:val="30"/>
          <w:lang w:val="en-US" w:eastAsia="zh-CN" w:bidi="ar-SA"/>
        </w:rPr>
        <w:t>（1）如用户录入的身份信息与存量房交易平台网签合同中登记的不一致则无法登录建行龙存管系统。</w:t>
      </w:r>
    </w:p>
    <w:p>
      <w:pPr>
        <w:adjustRightInd w:val="0"/>
        <w:snapToGrid w:val="0"/>
        <w:spacing w:before="312" w:beforeLines="100" w:line="360" w:lineRule="auto"/>
        <w:rPr>
          <w:rFonts w:hint="eastAsia" w:ascii="仿宋_GB2312" w:eastAsia="仿宋_GB2312" w:hAnsiTheme="minorHAnsi" w:cstheme="minorBidi"/>
          <w:color w:val="FF0000"/>
          <w:kern w:val="2"/>
          <w:sz w:val="30"/>
          <w:szCs w:val="30"/>
          <w:lang w:val="en-US" w:eastAsia="zh-CN" w:bidi="ar-SA"/>
        </w:rPr>
      </w:pPr>
      <w:r>
        <w:rPr>
          <w:rFonts w:hint="eastAsia" w:ascii="仿宋_GB2312" w:eastAsia="仿宋_GB2312" w:hAnsiTheme="minorHAnsi" w:cstheme="minorBidi"/>
          <w:color w:val="FF0000"/>
          <w:kern w:val="2"/>
          <w:sz w:val="30"/>
          <w:szCs w:val="30"/>
          <w:lang w:val="en-US" w:eastAsia="zh-CN" w:bidi="ar-SA"/>
        </w:rPr>
        <w:t>（2）用户必须使用本人的身份证号、银行卡号及手机号等信息进行实名登录，如用户将上述信息提供给第三方，由第三方代本人登录，后续业务操作风险需用户自行承担。</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2.2 监管协议信息录入</w:t>
      </w:r>
    </w:p>
    <w:p>
      <w:pPr>
        <w:adjustRightInd w:val="0"/>
        <w:snapToGrid w:val="0"/>
        <w:spacing w:line="360" w:lineRule="auto"/>
        <w:jc w:val="center"/>
        <w:rPr>
          <w:rFonts w:ascii="彩虹粗仿宋" w:eastAsia="彩虹粗仿宋"/>
          <w:sz w:val="32"/>
          <w:szCs w:val="30"/>
        </w:rPr>
      </w:pPr>
      <w:r>
        <w:drawing>
          <wp:inline distT="0" distB="0" distL="0" distR="0">
            <wp:extent cx="5274310" cy="15792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1579245"/>
                    </a:xfrm>
                    <a:prstGeom prst="rect">
                      <a:avLst/>
                    </a:prstGeom>
                  </pic:spPr>
                </pic:pic>
              </a:graphicData>
            </a:graphic>
          </wp:inline>
        </w:drawing>
      </w:r>
    </w:p>
    <w:p>
      <w:pPr>
        <w:adjustRightInd w:val="0"/>
        <w:snapToGrid w:val="0"/>
        <w:spacing w:before="312" w:beforeLines="100" w:line="360" w:lineRule="auto"/>
        <w:jc w:val="center"/>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图2：监管协议信息修改功能界面</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录入监管资金：用户输入本次监管服务的监管金额，可录入金额不得超过对应存量房网签合同的成交总价。</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录入用户地址：用户需录入真实准确的现居住地址，该地址为资金监管协议买卖双方信息要素，为通信地址。</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2.3 银行结算账户绑定</w:t>
      </w:r>
    </w:p>
    <w:p>
      <w:pPr>
        <w:adjustRightInd w:val="0"/>
        <w:snapToGrid w:val="0"/>
        <w:spacing w:line="360" w:lineRule="auto"/>
        <w:jc w:val="left"/>
        <w:rPr>
          <w:rFonts w:ascii="彩虹粗仿宋" w:eastAsia="彩虹粗仿宋"/>
          <w:sz w:val="32"/>
          <w:szCs w:val="30"/>
        </w:rPr>
      </w:pPr>
      <w:r>
        <w:drawing>
          <wp:inline distT="0" distB="0" distL="0" distR="0">
            <wp:extent cx="5271770" cy="25914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357428" cy="2633886"/>
                    </a:xfrm>
                    <a:prstGeom prst="rect">
                      <a:avLst/>
                    </a:prstGeom>
                  </pic:spPr>
                </pic:pic>
              </a:graphicData>
            </a:graphic>
          </wp:inline>
        </w:drawing>
      </w:r>
    </w:p>
    <w:p>
      <w:pPr>
        <w:adjustRightInd w:val="0"/>
        <w:snapToGrid w:val="0"/>
        <w:spacing w:before="312" w:beforeLines="100" w:line="360" w:lineRule="auto"/>
        <w:jc w:val="center"/>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图3：已绑定银行卡显示界面</w:t>
      </w:r>
    </w:p>
    <w:p>
      <w:pPr>
        <w:adjustRightInd w:val="0"/>
        <w:snapToGrid w:val="0"/>
        <w:spacing w:line="360" w:lineRule="auto"/>
        <w:jc w:val="left"/>
        <w:rPr>
          <w:rFonts w:ascii="彩虹粗仿宋" w:eastAsia="彩虹粗仿宋"/>
          <w:sz w:val="32"/>
          <w:szCs w:val="30"/>
        </w:rPr>
      </w:pPr>
      <w:r>
        <w:drawing>
          <wp:inline distT="0" distB="0" distL="0" distR="0">
            <wp:extent cx="5274310" cy="16484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4310" cy="1648460"/>
                    </a:xfrm>
                    <a:prstGeom prst="rect">
                      <a:avLst/>
                    </a:prstGeom>
                  </pic:spPr>
                </pic:pic>
              </a:graphicData>
            </a:graphic>
          </wp:inline>
        </w:drawing>
      </w:r>
    </w:p>
    <w:p>
      <w:pPr>
        <w:adjustRightInd w:val="0"/>
        <w:snapToGrid w:val="0"/>
        <w:spacing w:before="312" w:beforeLines="100" w:line="360" w:lineRule="auto"/>
        <w:jc w:val="center"/>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图4：添加绑定银行卡界面</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用户绑定银行结算账户：用户需完成本人银行储蓄卡绑定方可签署合同，其中买方最多可绑定三个银行储蓄卡用于支付监管资金；卖方用户只能绑定一个银行储蓄卡用于收取监管资金。</w:t>
      </w:r>
    </w:p>
    <w:p>
      <w:pPr>
        <w:adjustRightInd w:val="0"/>
        <w:snapToGrid w:val="0"/>
        <w:spacing w:before="312" w:beforeLines="100" w:line="360" w:lineRule="auto"/>
        <w:rPr>
          <w:rFonts w:hint="eastAsia" w:ascii="仿宋_GB2312" w:eastAsia="仿宋_GB2312" w:hAnsiTheme="minorHAnsi" w:cstheme="minorBidi"/>
          <w:color w:val="FF0000"/>
          <w:kern w:val="2"/>
          <w:sz w:val="30"/>
          <w:szCs w:val="30"/>
          <w:lang w:val="en-US" w:eastAsia="zh-CN" w:bidi="ar-SA"/>
        </w:rPr>
      </w:pPr>
      <w:r>
        <w:rPr>
          <w:rFonts w:hint="eastAsia" w:ascii="仿宋_GB2312" w:eastAsia="仿宋_GB2312" w:hAnsiTheme="minorHAnsi" w:cstheme="minorBidi"/>
          <w:color w:val="FF0000"/>
          <w:kern w:val="2"/>
          <w:sz w:val="30"/>
          <w:szCs w:val="30"/>
          <w:lang w:val="en-US" w:eastAsia="zh-CN" w:bidi="ar-SA"/>
        </w:rPr>
        <w:t>温馨提示：可绑定的银行卡为各类银行的储蓄卡，不限于建行，但不可绑定信用卡。</w:t>
      </w:r>
    </w:p>
    <w:p>
      <w:pPr>
        <w:adjustRightInd w:val="0"/>
        <w:snapToGrid w:val="0"/>
        <w:spacing w:line="360" w:lineRule="auto"/>
        <w:rPr>
          <w:rFonts w:ascii="彩虹粗仿宋" w:eastAsia="彩虹粗仿宋"/>
          <w:color w:val="FF0000"/>
          <w:sz w:val="32"/>
          <w:szCs w:val="30"/>
        </w:rPr>
      </w:pPr>
      <w:r>
        <w:drawing>
          <wp:inline distT="0" distB="0" distL="0" distR="0">
            <wp:extent cx="5295900" cy="9398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stretch>
                      <a:fillRect/>
                    </a:stretch>
                  </pic:blipFill>
                  <pic:spPr>
                    <a:xfrm>
                      <a:off x="0" y="0"/>
                      <a:ext cx="5300493" cy="940636"/>
                    </a:xfrm>
                    <a:prstGeom prst="rect">
                      <a:avLst/>
                    </a:prstGeom>
                  </pic:spPr>
                </pic:pic>
              </a:graphicData>
            </a:graphic>
          </wp:inline>
        </w:drawing>
      </w:r>
    </w:p>
    <w:p>
      <w:pPr>
        <w:adjustRightInd w:val="0"/>
        <w:snapToGrid w:val="0"/>
        <w:spacing w:line="360" w:lineRule="auto"/>
        <w:jc w:val="center"/>
        <w:rPr>
          <w:rFonts w:ascii="彩虹粗仿宋" w:eastAsia="彩虹粗仿宋"/>
          <w:sz w:val="28"/>
          <w:szCs w:val="30"/>
        </w:rPr>
      </w:pPr>
      <w:r>
        <w:rPr>
          <w:rFonts w:ascii="彩虹粗仿宋" w:eastAsia="彩虹粗仿宋"/>
          <w:sz w:val="28"/>
          <w:szCs w:val="30"/>
        </w:rPr>
        <w:t>图</w:t>
      </w:r>
      <w:r>
        <w:rPr>
          <w:rFonts w:hint="eastAsia" w:ascii="彩虹粗仿宋" w:eastAsia="彩虹粗仿宋"/>
          <w:sz w:val="28"/>
          <w:szCs w:val="30"/>
        </w:rPr>
        <w:t>5：监管协议信息确认按钮</w:t>
      </w:r>
    </w:p>
    <w:p>
      <w:pPr>
        <w:adjustRightInd w:val="0"/>
        <w:snapToGrid w:val="0"/>
        <w:spacing w:before="312" w:beforeLines="100" w:line="360" w:lineRule="auto"/>
        <w:rPr>
          <w:rFonts w:hint="eastAsia" w:ascii="仿宋_GB2312" w:eastAsia="仿宋_GB2312" w:hAnsiTheme="minorHAnsi" w:cstheme="minorBidi"/>
          <w:color w:val="FF0000"/>
          <w:kern w:val="2"/>
          <w:sz w:val="30"/>
          <w:szCs w:val="30"/>
          <w:lang w:val="en-US" w:eastAsia="zh-CN" w:bidi="ar-SA"/>
        </w:rPr>
      </w:pPr>
      <w:r>
        <w:rPr>
          <w:rFonts w:hint="eastAsia" w:ascii="仿宋_GB2312" w:eastAsia="仿宋_GB2312" w:hAnsiTheme="minorHAnsi" w:cstheme="minorBidi"/>
          <w:color w:val="FF0000"/>
          <w:kern w:val="2"/>
          <w:sz w:val="30"/>
          <w:szCs w:val="30"/>
          <w:lang w:val="en-US" w:eastAsia="zh-CN" w:bidi="ar-SA"/>
        </w:rPr>
        <w:t>特别提示：买卖双方均需完成监管协议信息确认后，系统方可生成监管协议，买卖双方才可进行协议签署。</w:t>
      </w:r>
    </w:p>
    <w:p>
      <w:pPr>
        <w:adjustRightInd w:val="0"/>
        <w:snapToGrid w:val="0"/>
        <w:spacing w:before="312" w:beforeLines="100" w:line="360" w:lineRule="auto"/>
        <w:rPr>
          <w:rFonts w:ascii="彩虹粗仿宋" w:eastAsia="彩虹粗仿宋"/>
          <w:b/>
          <w:sz w:val="32"/>
          <w:szCs w:val="30"/>
        </w:rPr>
      </w:pPr>
      <w:r>
        <w:rPr>
          <w:rFonts w:hint="eastAsia" w:ascii="彩虹粗仿宋" w:eastAsia="彩虹粗仿宋"/>
          <w:b/>
          <w:sz w:val="32"/>
          <w:szCs w:val="30"/>
        </w:rPr>
        <w:t>2.</w:t>
      </w:r>
      <w:r>
        <w:rPr>
          <w:rFonts w:ascii="彩虹粗仿宋" w:eastAsia="彩虹粗仿宋"/>
          <w:b/>
          <w:sz w:val="32"/>
          <w:szCs w:val="30"/>
        </w:rPr>
        <w:t>4</w:t>
      </w:r>
      <w:r>
        <w:rPr>
          <w:rFonts w:hint="eastAsia" w:ascii="彩虹粗仿宋" w:eastAsia="彩虹粗仿宋"/>
          <w:b/>
          <w:sz w:val="32"/>
          <w:szCs w:val="30"/>
        </w:rPr>
        <w:t xml:space="preserve"> 资金监管协议签署</w:t>
      </w:r>
    </w:p>
    <w:p>
      <w:pPr>
        <w:adjustRightInd w:val="0"/>
        <w:snapToGrid w:val="0"/>
        <w:spacing w:line="360" w:lineRule="auto"/>
        <w:jc w:val="center"/>
        <w:rPr>
          <w:rFonts w:ascii="彩虹粗仿宋" w:eastAsia="彩虹粗仿宋"/>
          <w:sz w:val="32"/>
          <w:szCs w:val="30"/>
        </w:rPr>
      </w:pPr>
      <w:r>
        <w:drawing>
          <wp:inline distT="0" distB="0" distL="0" distR="0">
            <wp:extent cx="5274310" cy="78168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274310" cy="781685"/>
                    </a:xfrm>
                    <a:prstGeom prst="rect">
                      <a:avLst/>
                    </a:prstGeom>
                  </pic:spPr>
                </pic:pic>
              </a:graphicData>
            </a:graphic>
          </wp:inline>
        </w:drawing>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图6：资金监管协议界面相关功能按钮</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监管协议签署：在买卖双方均完成监管协议信息确认后，任一方才可进行资金监管协议签署，合同签署时需验证用户本人手机验证码，签署方式目前采用深圳市法大大网络技术有限公司提供的电子名章服务，具备CA认证及存证固证功能，具有法律效力。</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监管协议下载：用户可点击下载资金监管协议电子版。</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监管协议信息变更：如用户至此步骤签署合同前仍需修改监管资金数额及绑定的银行结算账户，可点击监管协议信息变更进行修改。</w:t>
      </w:r>
    </w:p>
    <w:p>
      <w:pPr>
        <w:adjustRightInd w:val="0"/>
        <w:snapToGrid w:val="0"/>
        <w:spacing w:before="312" w:beforeLines="100" w:line="360" w:lineRule="auto"/>
        <w:rPr>
          <w:rFonts w:hint="eastAsia" w:ascii="仿宋_GB2312" w:eastAsia="仿宋_GB2312" w:hAnsiTheme="minorHAnsi" w:cstheme="minorBidi"/>
          <w:color w:val="FF0000"/>
          <w:kern w:val="2"/>
          <w:sz w:val="30"/>
          <w:szCs w:val="30"/>
          <w:lang w:val="en-US" w:eastAsia="zh-CN" w:bidi="ar-SA"/>
        </w:rPr>
      </w:pPr>
      <w:r>
        <w:rPr>
          <w:rFonts w:hint="eastAsia" w:ascii="仿宋_GB2312" w:eastAsia="仿宋_GB2312" w:hAnsiTheme="minorHAnsi" w:cstheme="minorBidi"/>
          <w:color w:val="FF0000"/>
          <w:kern w:val="2"/>
          <w:sz w:val="30"/>
          <w:szCs w:val="30"/>
          <w:lang w:val="en-US" w:eastAsia="zh-CN" w:bidi="ar-SA"/>
        </w:rPr>
        <w:t>温馨提示：</w:t>
      </w:r>
    </w:p>
    <w:p>
      <w:pPr>
        <w:adjustRightInd w:val="0"/>
        <w:snapToGrid w:val="0"/>
        <w:spacing w:before="312" w:beforeLines="100" w:line="360" w:lineRule="auto"/>
        <w:rPr>
          <w:rFonts w:hint="eastAsia" w:ascii="仿宋_GB2312" w:eastAsia="仿宋_GB2312" w:hAnsiTheme="minorHAnsi" w:cstheme="minorBidi"/>
          <w:color w:val="FF0000"/>
          <w:kern w:val="2"/>
          <w:sz w:val="30"/>
          <w:szCs w:val="30"/>
          <w:lang w:val="en-US" w:eastAsia="zh-CN" w:bidi="ar-SA"/>
        </w:rPr>
      </w:pPr>
      <w:r>
        <w:rPr>
          <w:rFonts w:hint="eastAsia" w:ascii="仿宋_GB2312" w:eastAsia="仿宋_GB2312" w:hAnsiTheme="minorHAnsi" w:cstheme="minorBidi"/>
          <w:color w:val="FF0000"/>
          <w:kern w:val="2"/>
          <w:sz w:val="30"/>
          <w:szCs w:val="30"/>
          <w:lang w:val="en-US" w:eastAsia="zh-CN" w:bidi="ar-SA"/>
        </w:rPr>
        <w:t>（1）买卖双方均完成监管协议信息确认后，方可进入资金监管协议相关功能页面，如一方已完成而另一方未完成监管协议信息确认则无法进入资金监管协议签署界面。</w:t>
      </w:r>
    </w:p>
    <w:p>
      <w:pPr>
        <w:adjustRightInd w:val="0"/>
        <w:snapToGrid w:val="0"/>
        <w:spacing w:before="312" w:beforeLines="100" w:line="360" w:lineRule="auto"/>
        <w:rPr>
          <w:rFonts w:hint="eastAsia" w:ascii="仿宋_GB2312" w:eastAsia="仿宋_GB2312" w:hAnsiTheme="minorHAnsi" w:cstheme="minorBidi"/>
          <w:color w:val="FF0000"/>
          <w:kern w:val="2"/>
          <w:sz w:val="30"/>
          <w:szCs w:val="30"/>
          <w:lang w:val="en-US" w:eastAsia="zh-CN" w:bidi="ar-SA"/>
        </w:rPr>
      </w:pPr>
      <w:r>
        <w:rPr>
          <w:rFonts w:hint="eastAsia" w:ascii="仿宋_GB2312" w:eastAsia="仿宋_GB2312" w:hAnsiTheme="minorHAnsi" w:cstheme="minorBidi"/>
          <w:color w:val="FF0000"/>
          <w:kern w:val="2"/>
          <w:sz w:val="30"/>
          <w:szCs w:val="30"/>
          <w:lang w:val="en-US" w:eastAsia="zh-CN" w:bidi="ar-SA"/>
        </w:rPr>
        <w:t>（2）如一方已完成监管协议签署，另一方又进行监管协议信息变更，则已签署的一方需对变更后的监管协议重新签署。如双方都已完成监管协议签署，则任一方均不得再进行监管协议信息变更。</w:t>
      </w:r>
    </w:p>
    <w:p>
      <w:pPr>
        <w:adjustRightInd w:val="0"/>
        <w:snapToGrid w:val="0"/>
        <w:spacing w:before="312" w:beforeLines="100" w:line="360" w:lineRule="auto"/>
        <w:rPr>
          <w:rFonts w:hint="eastAsia" w:ascii="仿宋_GB2312" w:eastAsia="仿宋_GB2312" w:hAnsiTheme="minorHAnsi" w:cstheme="minorBidi"/>
          <w:color w:val="FF0000"/>
          <w:kern w:val="2"/>
          <w:sz w:val="30"/>
          <w:szCs w:val="30"/>
          <w:lang w:val="en-US" w:eastAsia="zh-CN" w:bidi="ar-SA"/>
        </w:rPr>
      </w:pPr>
      <w:r>
        <w:rPr>
          <w:rFonts w:hint="eastAsia" w:ascii="仿宋_GB2312" w:eastAsia="仿宋_GB2312" w:hAnsiTheme="minorHAnsi" w:cstheme="minorBidi"/>
          <w:color w:val="FF0000"/>
          <w:kern w:val="2"/>
          <w:sz w:val="30"/>
          <w:szCs w:val="30"/>
          <w:lang w:val="en-US" w:eastAsia="zh-CN" w:bidi="ar-SA"/>
        </w:rPr>
        <w:t>（3）买方需使用绑定的银行卡通过任意转账渠道（包括但不限于手机银行、网上银行及网点柜台等）向中山市存量房交易平台监管账户转入监管协议约定的监管资金，该转账可分多次操作。</w:t>
      </w:r>
    </w:p>
    <w:p>
      <w:pPr>
        <w:adjustRightInd w:val="0"/>
        <w:snapToGrid w:val="0"/>
        <w:spacing w:before="312" w:beforeLines="100" w:line="360" w:lineRule="auto"/>
        <w:rPr>
          <w:rFonts w:ascii="彩虹粗仿宋" w:eastAsia="彩虹粗仿宋"/>
          <w:b/>
          <w:sz w:val="32"/>
          <w:szCs w:val="30"/>
        </w:rPr>
      </w:pPr>
      <w:r>
        <w:rPr>
          <w:rFonts w:hint="eastAsia" w:ascii="彩虹粗仿宋" w:eastAsia="彩虹粗仿宋"/>
          <w:b/>
          <w:sz w:val="32"/>
          <w:szCs w:val="30"/>
        </w:rPr>
        <w:t>2.</w:t>
      </w:r>
      <w:r>
        <w:rPr>
          <w:rFonts w:ascii="彩虹粗仿宋" w:eastAsia="彩虹粗仿宋"/>
          <w:b/>
          <w:sz w:val="32"/>
          <w:szCs w:val="30"/>
        </w:rPr>
        <w:t>5</w:t>
      </w:r>
      <w:r>
        <w:rPr>
          <w:rFonts w:hint="eastAsia" w:ascii="彩虹粗仿宋" w:eastAsia="彩虹粗仿宋"/>
          <w:b/>
          <w:sz w:val="32"/>
          <w:szCs w:val="30"/>
        </w:rPr>
        <w:t xml:space="preserve"> 监管资金操作界面</w:t>
      </w:r>
    </w:p>
    <w:p>
      <w:pPr>
        <w:adjustRightInd w:val="0"/>
        <w:snapToGrid w:val="0"/>
        <w:spacing w:line="360" w:lineRule="auto"/>
        <w:rPr>
          <w:rFonts w:ascii="彩虹粗仿宋" w:eastAsia="彩虹粗仿宋"/>
          <w:sz w:val="32"/>
          <w:szCs w:val="30"/>
        </w:rPr>
      </w:pPr>
      <w:r>
        <w:drawing>
          <wp:inline distT="0" distB="0" distL="0" distR="0">
            <wp:extent cx="5274310" cy="6000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5274310" cy="600075"/>
                    </a:xfrm>
                    <a:prstGeom prst="rect">
                      <a:avLst/>
                    </a:prstGeom>
                  </pic:spPr>
                </pic:pic>
              </a:graphicData>
            </a:graphic>
          </wp:inline>
        </w:drawing>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图7：监管协议签署完成后界面</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 xml:space="preserve">    资金操作：买卖双方完成资金监管协议签署后，可点击资金操作按钮进入监管资金操作相关功能界面。监管资金操作界面提供监管资金超额退回、监管资金划拨、监管终止资金退回、查询收支明细等服务。</w:t>
      </w:r>
    </w:p>
    <w:p>
      <w:pPr>
        <w:adjustRightInd w:val="0"/>
        <w:snapToGrid w:val="0"/>
        <w:spacing w:line="360" w:lineRule="auto"/>
        <w:rPr>
          <w:rFonts w:ascii="彩虹粗仿宋" w:eastAsia="彩虹粗仿宋"/>
          <w:sz w:val="32"/>
          <w:szCs w:val="30"/>
        </w:rPr>
      </w:pPr>
      <w:r>
        <w:rPr>
          <w:rFonts w:hint="eastAsia" w:ascii="彩虹粗仿宋" w:eastAsia="彩虹粗仿宋"/>
          <w:sz w:val="32"/>
          <w:szCs w:val="30"/>
        </w:rPr>
        <w:drawing>
          <wp:inline distT="0" distB="0" distL="0" distR="0">
            <wp:extent cx="5274310" cy="495998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82765" cy="4968087"/>
                    </a:xfrm>
                    <a:prstGeom prst="rect">
                      <a:avLst/>
                    </a:prstGeom>
                    <a:noFill/>
                    <a:ln>
                      <a:noFill/>
                    </a:ln>
                  </pic:spPr>
                </pic:pic>
              </a:graphicData>
            </a:graphic>
          </wp:inline>
        </w:drawing>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图8：监管资金操作相关功能界面</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监管资金超额退回：如买方用户操作不当，存入超过约定金额的监管资金，可点击监管资金超额退回进行资金退回操作，退回的资金仅能为超额部分，且退回至买方用户绑定的第一个银行结算账户内（主卡）。</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监管资金划拨：如交易房产已过户，买方或卖方用户均可点击监管资金划拨，将监管资金划拨至卖方用户绑定的银行结算账户内，完成资金监管业务流程。</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监管终止资金退回：如监管业务对应的存量房交易终止，买卖双方需先在存量房交易平台撤销已备案的网签合同，网签合同撤销备案后，买卖双方可点击监管终止资金退回，监管资金将全额划转至买方用户绑定的第一个银行结算账户内（主卡）。</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查询收支明细：买卖双方可查询已向资金监管账户转入的资金明细。</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3. 异常处理</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如在龙存管上办理资金监管存在异常情况，请联系建行中山市兴中道支行。</w:t>
      </w:r>
    </w:p>
    <w:p>
      <w:pPr>
        <w:adjustRightInd w:val="0"/>
        <w:snapToGrid w:val="0"/>
        <w:spacing w:before="312" w:beforeLines="100" w:line="360" w:lineRule="auto"/>
        <w:rPr>
          <w:rFonts w:hint="default"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联系方式：0760-8838</w:t>
      </w:r>
      <w:r>
        <w:rPr>
          <w:rFonts w:hint="eastAsia" w:ascii="仿宋_GB2312" w:eastAsia="仿宋_GB2312" w:cstheme="minorBidi"/>
          <w:kern w:val="2"/>
          <w:sz w:val="30"/>
          <w:szCs w:val="30"/>
          <w:lang w:val="en-US" w:eastAsia="zh-CN" w:bidi="ar-SA"/>
        </w:rPr>
        <w:t>7115</w:t>
      </w:r>
      <w:bookmarkStart w:id="0" w:name="_GoBack"/>
      <w:bookmarkEnd w:id="0"/>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地址：中山市兴中道房管大楼一楼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彩虹小标宋">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彩虹粗仿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652"/>
    <w:rsid w:val="000D29B3"/>
    <w:rsid w:val="000E1B5A"/>
    <w:rsid w:val="00142CC6"/>
    <w:rsid w:val="001601E5"/>
    <w:rsid w:val="00163DCC"/>
    <w:rsid w:val="001771D5"/>
    <w:rsid w:val="001A5F92"/>
    <w:rsid w:val="001F334B"/>
    <w:rsid w:val="001F4294"/>
    <w:rsid w:val="00202116"/>
    <w:rsid w:val="00226AC7"/>
    <w:rsid w:val="00240E06"/>
    <w:rsid w:val="00283B3A"/>
    <w:rsid w:val="002C0590"/>
    <w:rsid w:val="00330570"/>
    <w:rsid w:val="00353652"/>
    <w:rsid w:val="00364935"/>
    <w:rsid w:val="0040187A"/>
    <w:rsid w:val="00460DC9"/>
    <w:rsid w:val="004B6964"/>
    <w:rsid w:val="004E1744"/>
    <w:rsid w:val="005375FE"/>
    <w:rsid w:val="005604DA"/>
    <w:rsid w:val="00593FB3"/>
    <w:rsid w:val="005A4BDF"/>
    <w:rsid w:val="005A6B93"/>
    <w:rsid w:val="00650B2B"/>
    <w:rsid w:val="00664F04"/>
    <w:rsid w:val="00674985"/>
    <w:rsid w:val="006C62E6"/>
    <w:rsid w:val="006F3588"/>
    <w:rsid w:val="00701CEB"/>
    <w:rsid w:val="00742A76"/>
    <w:rsid w:val="00751748"/>
    <w:rsid w:val="00764432"/>
    <w:rsid w:val="008159B7"/>
    <w:rsid w:val="00851F6E"/>
    <w:rsid w:val="008A6B35"/>
    <w:rsid w:val="008F59E3"/>
    <w:rsid w:val="00973F81"/>
    <w:rsid w:val="00980B91"/>
    <w:rsid w:val="009A160D"/>
    <w:rsid w:val="009C68E2"/>
    <w:rsid w:val="009E2DF4"/>
    <w:rsid w:val="009E458D"/>
    <w:rsid w:val="00A11D6B"/>
    <w:rsid w:val="00A32949"/>
    <w:rsid w:val="00A40D86"/>
    <w:rsid w:val="00A72106"/>
    <w:rsid w:val="00A72E39"/>
    <w:rsid w:val="00AD5445"/>
    <w:rsid w:val="00AE1EB9"/>
    <w:rsid w:val="00BF5721"/>
    <w:rsid w:val="00C44522"/>
    <w:rsid w:val="00C5104D"/>
    <w:rsid w:val="00C86B90"/>
    <w:rsid w:val="00C90BD9"/>
    <w:rsid w:val="00D305BB"/>
    <w:rsid w:val="00D8467D"/>
    <w:rsid w:val="00D96E4D"/>
    <w:rsid w:val="00DB61B7"/>
    <w:rsid w:val="00DC08F2"/>
    <w:rsid w:val="00DC15BC"/>
    <w:rsid w:val="00E22D84"/>
    <w:rsid w:val="00E326DE"/>
    <w:rsid w:val="00E33AF2"/>
    <w:rsid w:val="00E345D0"/>
    <w:rsid w:val="00E87629"/>
    <w:rsid w:val="00EA399D"/>
    <w:rsid w:val="00ED2849"/>
    <w:rsid w:val="00F05911"/>
    <w:rsid w:val="00F12536"/>
    <w:rsid w:val="00F16F5F"/>
    <w:rsid w:val="00F40B78"/>
    <w:rsid w:val="00F65C66"/>
    <w:rsid w:val="00FB355B"/>
    <w:rsid w:val="00FB658A"/>
    <w:rsid w:val="00FE1F80"/>
    <w:rsid w:val="405C46D9"/>
    <w:rsid w:val="4D237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uiPriority w:val="99"/>
    <w:tblPr>
      <w:tblCellMar>
        <w:top w:w="0" w:type="dxa"/>
        <w:left w:w="108" w:type="dxa"/>
        <w:bottom w:w="0" w:type="dxa"/>
        <w:right w:w="108" w:type="dxa"/>
      </w:tblCellMar>
    </w:tblPr>
  </w:style>
  <w:style w:type="paragraph" w:styleId="2">
    <w:name w:val="annotation text"/>
    <w:basedOn w:val="1"/>
    <w:link w:val="13"/>
    <w:unhideWhenUsed/>
    <w:uiPriority w:val="99"/>
    <w:pPr>
      <w:jc w:val="left"/>
    </w:p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uiPriority w:val="99"/>
    <w:rPr>
      <w:b/>
      <w:bCs/>
    </w:rPr>
  </w:style>
  <w:style w:type="character" w:styleId="9">
    <w:name w:val="annotation reference"/>
    <w:basedOn w:val="8"/>
    <w:unhideWhenUsed/>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character" w:customStyle="1" w:styleId="13">
    <w:name w:val="批注文字 Char"/>
    <w:basedOn w:val="8"/>
    <w:link w:val="2"/>
    <w:semiHidden/>
    <w:uiPriority w:val="99"/>
  </w:style>
  <w:style w:type="character" w:customStyle="1" w:styleId="14">
    <w:name w:val="批注主题 Char"/>
    <w:basedOn w:val="13"/>
    <w:link w:val="6"/>
    <w:semiHidden/>
    <w:uiPriority w:val="99"/>
    <w:rPr>
      <w:b/>
      <w:bCs/>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1F024-1A14-4B46-A734-0DCC72514D26}">
  <ds:schemaRefs/>
</ds:datastoreItem>
</file>

<file path=docProps/app.xml><?xml version="1.0" encoding="utf-8"?>
<Properties xmlns="http://schemas.openxmlformats.org/officeDocument/2006/extended-properties" xmlns:vt="http://schemas.openxmlformats.org/officeDocument/2006/docPropsVTypes">
  <Template>Normal</Template>
  <Pages>7</Pages>
  <Words>312</Words>
  <Characters>1785</Characters>
  <Lines>14</Lines>
  <Paragraphs>4</Paragraphs>
  <TotalTime>941</TotalTime>
  <ScaleCrop>false</ScaleCrop>
  <LinksUpToDate>false</LinksUpToDate>
  <CharactersWithSpaces>2093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2021-07-20T07:12:00Z</dcterms:created>
  <dc:creator>张佳熠</dc:creator>
  <cp:lastModifiedBy>廖嘉欣</cp:lastModifiedBy>
  <dcterms:modified xsi:type="dcterms:W3CDTF">2024-10-08T08:24:51Z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6B4085A376664E58988F2C04EC77A1C1</vt:lpwstr>
  </property>
</Properties>
</file>